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78" w:rsidRPr="002C5262" w:rsidRDefault="00AE0C77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62">
        <w:rPr>
          <w:rFonts w:ascii="Times New Roman" w:hAnsi="Times New Roman" w:cs="Times New Roman"/>
          <w:b/>
          <w:sz w:val="28"/>
          <w:szCs w:val="28"/>
        </w:rPr>
        <w:t>Аннотация к д</w:t>
      </w:r>
      <w:r w:rsidR="005D3792" w:rsidRPr="002C5262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2C5262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D3792" w:rsidRPr="002C5262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Pr="002C5262">
        <w:rPr>
          <w:rFonts w:ascii="Times New Roman" w:hAnsi="Times New Roman" w:cs="Times New Roman"/>
          <w:b/>
          <w:sz w:val="28"/>
          <w:szCs w:val="28"/>
        </w:rPr>
        <w:t>ой</w:t>
      </w:r>
      <w:r w:rsidR="005D3792" w:rsidRPr="002C526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D08B0" w:rsidRPr="002C5262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2C5262">
        <w:rPr>
          <w:rFonts w:ascii="Times New Roman" w:hAnsi="Times New Roman" w:cs="Times New Roman"/>
          <w:b/>
          <w:sz w:val="28"/>
          <w:szCs w:val="28"/>
        </w:rPr>
        <w:t>е</w:t>
      </w:r>
    </w:p>
    <w:p w:rsidR="005E1478" w:rsidRPr="002C5262" w:rsidRDefault="0026225E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62">
        <w:rPr>
          <w:rFonts w:ascii="Times New Roman" w:hAnsi="Times New Roman" w:cs="Times New Roman"/>
          <w:b/>
          <w:sz w:val="28"/>
          <w:szCs w:val="28"/>
        </w:rPr>
        <w:t>«</w:t>
      </w:r>
      <w:r w:rsidR="00BD5580" w:rsidRPr="00BD5580">
        <w:rPr>
          <w:rFonts w:ascii="Times New Roman" w:hAnsi="Times New Roman" w:cs="Times New Roman"/>
          <w:b/>
          <w:sz w:val="28"/>
          <w:szCs w:val="28"/>
        </w:rPr>
        <w:t>Управление профориентационной работой и профильная подготовка обучающихся в образовательных организациях</w:t>
      </w:r>
      <w:r w:rsidRPr="002C5262">
        <w:rPr>
          <w:rFonts w:ascii="Times New Roman" w:hAnsi="Times New Roman" w:cs="Times New Roman"/>
          <w:b/>
          <w:sz w:val="28"/>
          <w:szCs w:val="28"/>
        </w:rPr>
        <w:t>»</w:t>
      </w:r>
    </w:p>
    <w:p w:rsidR="00574917" w:rsidRPr="006A06C4" w:rsidRDefault="00574917" w:rsidP="005E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478" w:rsidRPr="006A06C4" w:rsidRDefault="005E1478" w:rsidP="002B78A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Общие сведения о программе.</w:t>
      </w:r>
    </w:p>
    <w:p w:rsidR="002B78A5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1.1.Кафедра теории и практики управления образованием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1.2.</w:t>
      </w:r>
      <w:r w:rsidR="005D3792" w:rsidRPr="006A06C4">
        <w:rPr>
          <w:rFonts w:ascii="Times New Roman" w:hAnsi="Times New Roman" w:cs="Times New Roman"/>
          <w:sz w:val="28"/>
          <w:szCs w:val="28"/>
        </w:rPr>
        <w:t>Разработчики:</w:t>
      </w:r>
      <w:r w:rsidRPr="006A06C4">
        <w:rPr>
          <w:rFonts w:ascii="Times New Roman" w:hAnsi="Times New Roman" w:cs="Times New Roman"/>
          <w:sz w:val="28"/>
          <w:szCs w:val="28"/>
        </w:rPr>
        <w:t xml:space="preserve"> </w:t>
      </w:r>
      <w:r w:rsidR="001615BC" w:rsidRPr="006A06C4">
        <w:rPr>
          <w:rFonts w:ascii="Times New Roman" w:hAnsi="Times New Roman" w:cs="Times New Roman"/>
          <w:sz w:val="28"/>
          <w:szCs w:val="28"/>
        </w:rPr>
        <w:t xml:space="preserve">Гуров В.Н., д.п.н., профессор, заведующий кафедрой ТиПУО, </w:t>
      </w:r>
      <w:r w:rsidR="0026225E" w:rsidRPr="006A06C4">
        <w:rPr>
          <w:rFonts w:ascii="Times New Roman" w:hAnsi="Times New Roman" w:cs="Times New Roman"/>
          <w:sz w:val="28"/>
          <w:szCs w:val="28"/>
        </w:rPr>
        <w:t>Каримов Ф.Ф., ст. преподаватель кафедры теории и практики управления образованием</w:t>
      </w:r>
      <w:r w:rsidR="00BD5580">
        <w:rPr>
          <w:rFonts w:ascii="Times New Roman" w:hAnsi="Times New Roman" w:cs="Times New Roman"/>
          <w:sz w:val="28"/>
          <w:szCs w:val="28"/>
        </w:rPr>
        <w:t xml:space="preserve">, Лютова Г.Р., </w:t>
      </w:r>
      <w:r w:rsidR="00BD5580" w:rsidRPr="006A06C4">
        <w:rPr>
          <w:rFonts w:ascii="Times New Roman" w:hAnsi="Times New Roman" w:cs="Times New Roman"/>
          <w:sz w:val="28"/>
          <w:szCs w:val="28"/>
        </w:rPr>
        <w:t>ст. преподаватель кафедры теории и практики управления образованием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1.3. Объем программы: </w:t>
      </w:r>
      <w:r w:rsidR="00BD5580" w:rsidRPr="00083D66">
        <w:rPr>
          <w:rFonts w:ascii="Times New Roman" w:hAnsi="Times New Roman"/>
          <w:sz w:val="28"/>
          <w:szCs w:val="28"/>
          <w:lang w:eastAsia="ru-RU"/>
        </w:rPr>
        <w:t>48 часов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1.4. Сроки освоения: </w:t>
      </w:r>
      <w:r w:rsidR="002F2D21" w:rsidRPr="006A06C4">
        <w:rPr>
          <w:rFonts w:ascii="Times New Roman" w:hAnsi="Times New Roman" w:cs="Times New Roman"/>
          <w:sz w:val="28"/>
          <w:szCs w:val="28"/>
        </w:rPr>
        <w:t>2-9 дней</w:t>
      </w:r>
    </w:p>
    <w:p w:rsidR="001615BC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1.5. Форма освоения: очная</w:t>
      </w:r>
      <w:r w:rsidR="007C7723" w:rsidRPr="006A06C4">
        <w:rPr>
          <w:rFonts w:ascii="Times New Roman" w:hAnsi="Times New Roman" w:cs="Times New Roman"/>
          <w:sz w:val="28"/>
          <w:szCs w:val="28"/>
        </w:rPr>
        <w:t>.</w:t>
      </w:r>
    </w:p>
    <w:p w:rsidR="00DE6746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1.6.Категория слушателей: </w:t>
      </w:r>
      <w:r w:rsidR="00DE6746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и 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образовательных отношений</w:t>
      </w:r>
      <w:r w:rsidR="00DE6746"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1.7. Основные публикации разработчиков программы: </w:t>
      </w:r>
    </w:p>
    <w:p w:rsidR="00BB1C2F" w:rsidRPr="006A06C4" w:rsidRDefault="00BB1C2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Монографии</w:t>
      </w:r>
    </w:p>
    <w:p w:rsidR="00A9294F" w:rsidRPr="006A06C4" w:rsidRDefault="00A9294F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Н.А., Мазитов Р.Г., Современная инновационная школа в мегагороде: проектирование и реализация модели: Монография. - Уфа: Издательство ИРО РБ, 2016. - 170 с. 10,7 печ.л.</w:t>
      </w:r>
      <w:r w:rsidRPr="006A06C4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2. Гуров В.Н., Лютова Г.Р., Гурова Е.В. Профессиональная ориентация старших подростков на основе дополнительных общеразвивающих программ частной организации в моногороде (на материалах Башкортостана): Монография. - Уфа: Издательство ИРО РБ, 2016, - 164 с. 10,6 печ. л. 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3. Гуров В.Н., Мазитов Р.Г., Каримов Ф.Ф. Толерантность как ключевая компетенция руководителя образовательной организации: Монография. – Уфа: Издательство ИРО РБ, 2016. – 160 с. </w:t>
      </w:r>
    </w:p>
    <w:p w:rsidR="0026225E" w:rsidRPr="006A06C4" w:rsidRDefault="0026225E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06C4">
        <w:rPr>
          <w:rFonts w:ascii="Times New Roman" w:hAnsi="Times New Roman" w:cs="Times New Roman"/>
          <w:b/>
          <w:sz w:val="28"/>
          <w:szCs w:val="28"/>
        </w:rPr>
        <w:t>. Публикации в изданиях ведущих университетов мира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1. Gurov Valery Nikolaevich The head of the educational organization: the modernization of professional retraining and qualification improvement on the basis of innovative component in the context of requirements of state standards and professional standards // Austrian Journal of Humanities and Social Sciences Scientific journal. № 9–10 2016 (September–October) P. 15 – 23.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2. Gurov Valery Nikolaevich, Mazitov Ramil Giniyatovich, Gurova Elena Valeryevna, Karimov Fanis Fanusovich Innovation educational complex in a </w:t>
      </w:r>
      <w:r w:rsidRPr="006A06C4">
        <w:rPr>
          <w:rFonts w:ascii="Times New Roman" w:hAnsi="Times New Roman"/>
          <w:sz w:val="28"/>
          <w:szCs w:val="28"/>
          <w:lang w:val="en-US"/>
        </w:rPr>
        <w:lastRenderedPageBreak/>
        <w:t xml:space="preserve">rural municipality in the context of improving the quality//Austrian Journal of Humanities and Social Sciences Scientific journal № 3–4 2016 (March–April). P. 55-59.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3. Gurov Valeriy Nikolaevich, Lyutova Gulnara Rishadovna Monocities Bashkortostan: private educational organization in the context of formation of a professional orientation of older teens through more general developmental programs (article is based on research grant) // Austrian Journal of Humanities and Social Sciences Scientific journal № 1–2 2016 (January–February). </w:t>
      </w:r>
      <w:r w:rsidRPr="006A06C4">
        <w:rPr>
          <w:rFonts w:ascii="Times New Roman" w:hAnsi="Times New Roman"/>
          <w:sz w:val="28"/>
          <w:szCs w:val="28"/>
        </w:rPr>
        <w:t xml:space="preserve">P. 50-53. </w:t>
      </w:r>
    </w:p>
    <w:p w:rsidR="00023CD6" w:rsidRPr="006A06C4" w:rsidRDefault="00023CD6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Мазитов  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уровнях// Инновации в образовании. 2016. №1.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06C4">
        <w:rPr>
          <w:rFonts w:ascii="Times New Roman" w:hAnsi="Times New Roman" w:cs="Times New Roman"/>
          <w:b/>
          <w:sz w:val="28"/>
          <w:szCs w:val="28"/>
        </w:rPr>
        <w:t>.</w:t>
      </w:r>
      <w:r w:rsidRPr="006A06C4">
        <w:rPr>
          <w:rFonts w:ascii="Times New Roman" w:hAnsi="Times New Roman" w:cs="Times New Roman"/>
          <w:sz w:val="28"/>
          <w:szCs w:val="28"/>
        </w:rPr>
        <w:t xml:space="preserve">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федеральных журналах</w:t>
      </w:r>
    </w:p>
    <w:p w:rsidR="00A9294F" w:rsidRPr="006A06C4" w:rsidRDefault="00BB1C2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</w:t>
      </w:r>
      <w:r w:rsidR="00A9294F" w:rsidRPr="006A06C4">
        <w:rPr>
          <w:rFonts w:ascii="Times New Roman" w:hAnsi="Times New Roman" w:cs="Times New Roman"/>
          <w:sz w:val="28"/>
          <w:szCs w:val="28"/>
        </w:rPr>
        <w:t xml:space="preserve"> Каримов Ф.Ф. Руководитель образовательной организации как гарант подготовки толерантной личности// Международный научный журнал «Инновационная наука». 2016. №2. С. 69-71.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региональных журналах и сборниках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 Современная инновационная школа в мегагороде: проектирование и реализация модели//Образование: традиции и инновации. 2016. №1. С. 12-21.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 в 2014-2015 гг.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Статьи, напечатанные в журналах ведущих университетов мира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Proceedings of the 1st International Academic Congress «Fundamental and Applied Studies in the Pacific and Atlantic Oceans Countries»/ (Japan, Tokyo, 25 October 2014). Volume I. “Tokyo University Press”, 2014. P. 663-668.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Canadian Journal of Science, Education and Culture, 2014, No. 2. (6) (July - Desember). Volume III. “Toronto Press”, 2014. P. 389-394.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R.G. Mazitov, A.M. Rudakov Innovative Cluster Lab as an effective form to improve the quality of educational sustems at the regional and municipal levels // Harward Journal of Fundamental and Applied Studies, 2015, No.1. (7) (January – June). Volume VIII. ‘‘Harward University Press’’, 2015. P. 418-428.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Valeriy Nikolaevich, Ivantsova Natalya Aleksandrovna  School methodological support in the context of the creation and implementation of innovative models of modern school// Austrian Journal of Humanities and Social Sciences. Scientific journal № 11–12 2015 (November–December). P. 31-36.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lastRenderedPageBreak/>
        <w:t> 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Лютова Г.Р. Подготовка управленческих кадров образования в контексте государственно-частного партнерства //Инновации в образовании. 2015. №7. С. 125-135.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Гайнуллин И.А., Булатова З.А. Государственно-общественное управление образованием в контексте повышения качества образовательной деятельности образовательных организаций //Современные проблемы науки и образования. – 2015. – № 5. URL:http://www.science-education.ru/128-21917 (Дата обращения: 02.10.2015).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Информационно-образовательная среда современной инновационной школы в контексте повышения качества образования // Современные проблемы науки и образования. – 2015. – № 2;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7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www.science-education.ru/131-24002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К вопросу о проектировании и реализации модели современной инновационной школы в мегагороде // Современные проблемы науки и образования. – 2015. – № 6;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8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www.science-education.ru/130-23977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023CD6" w:rsidP="0002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9294F"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 // Инновации в образовании. 2016. № 1. С. 23-34.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9294F" w:rsidRPr="006A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23CD6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Гуров В.Н., Каримов Ф.Ф. Формирование толерантности студентов как важнейшая задача воспитательно-образовательного процесса вуза 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83-86.</w:t>
      </w:r>
    </w:p>
    <w:p w:rsidR="00A9294F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Гуров В.Н., Политаева Т.И. Социокультурное пространство педагогического вуза при подготовке конкурентного специалиста/Воспитание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79-82.</w:t>
      </w: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9294F"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Статьи, напечатанные в региональных журналах и сборниках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Сетевая инновационная кластерная лаборатория как эффективная форма повышения качества образовательных комплексов на региональном и муниципальном уровнях//Образование: традиции и инновации. 2015. №1(14). С. 4-10.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Мазитов Р.Г., Гуров В.Н., Чайникова Л.Ф. Кафедра управления и муниципальная методическая служба: взаимодействие в контексте 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повышения качества образовательного менеджмента /Муниципальные методические службы в контексте новых вызовов времени: опыт, проблемы, перспективы: Сборник статей. – Уфа: РИЦ ИРО РБ, 2014. –С. 6-11.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Гуров </w:t>
      </w:r>
      <w:r w:rsidR="00023CD6"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Инновационная кластерная лаборатория как одна из эффективных форм повышения качества образовательных комплексов на муниципальном уровне /Роль муниципальной методической службы в повышении качества образования в условиях введения стандартов: Материалы заседания Координационного совета (Нуримановский район, 4 февраля 2015 г.) – Уфа: Издательство ИРО РБ, 2015. С. 17-20.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 Программа и концепция инновационной деятельности /</w:t>
      </w:r>
      <w:r w:rsidRPr="006A06C4">
        <w:rPr>
          <w:rFonts w:ascii="Times New Roman" w:hAnsi="Times New Roman"/>
          <w:iCs/>
          <w:sz w:val="28"/>
          <w:szCs w:val="28"/>
        </w:rPr>
        <w:t>Зауралье Башкортостана: инновационный вектор в подготовке конкурентных рабочих и специалистов среднего звена</w:t>
      </w:r>
      <w:r w:rsidRPr="006A06C4">
        <w:rPr>
          <w:rFonts w:ascii="Times New Roman" w:hAnsi="Times New Roman"/>
          <w:sz w:val="28"/>
          <w:szCs w:val="28"/>
        </w:rPr>
        <w:t>. Методологические и методические разработки, научные и практические материалы. – Вып.1/ Общ. Ред. В.Н.Гурова. – Уфа, 2016. – С. 9-22.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Учебно-методические пособия</w:t>
      </w:r>
    </w:p>
    <w:p w:rsidR="00574917" w:rsidRPr="006A06C4" w:rsidRDefault="00574917" w:rsidP="00574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Н.А., Мазитов Р.Г. Современная инновационная школа в мегагороде: проектирование и реализация модели. Учебно-методическое пособие. – М.: Педа</w:t>
      </w:r>
      <w:r w:rsidR="00BD5580">
        <w:rPr>
          <w:rFonts w:ascii="Times New Roman" w:hAnsi="Times New Roman" w:cs="Times New Roman"/>
          <w:sz w:val="28"/>
          <w:szCs w:val="28"/>
        </w:rPr>
        <w:t>гогическое общество России, 2018</w:t>
      </w:r>
      <w:r w:rsidRPr="006A06C4">
        <w:rPr>
          <w:rFonts w:ascii="Times New Roman" w:hAnsi="Times New Roman" w:cs="Times New Roman"/>
          <w:sz w:val="28"/>
          <w:szCs w:val="28"/>
        </w:rPr>
        <w:t xml:space="preserve">. - 192 с. </w:t>
      </w:r>
    </w:p>
    <w:p w:rsidR="00574917" w:rsidRPr="006A06C4" w:rsidRDefault="00574917" w:rsidP="00574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2. Гуров В.Н., Каримов Ф.Ф., Мазитов Р.Г. Толерантность как ключевая компетенция руководителя образовательной организации: Учебно-методическое пособие. – М.: Педагогическое общество России, 2016. - 144 с.</w:t>
      </w:r>
    </w:p>
    <w:p w:rsidR="00574917" w:rsidRPr="006A06C4" w:rsidRDefault="00574917" w:rsidP="002B7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A52" w:rsidRDefault="001972CF" w:rsidP="002B7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 Цель и задачи программы:</w:t>
      </w:r>
      <w:r w:rsidR="00DE6746" w:rsidRPr="006A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02" w:rsidRPr="00BD5580" w:rsidRDefault="00D06902" w:rsidP="002B7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80">
        <w:rPr>
          <w:rFonts w:ascii="Times New Roman" w:hAnsi="Times New Roman" w:cs="Times New Roman"/>
          <w:sz w:val="28"/>
          <w:szCs w:val="28"/>
        </w:rPr>
        <w:t xml:space="preserve">Программа направлена на совершенствование профессиональных компетенций руководителей образовательных организаций в области  </w:t>
      </w:r>
      <w:r w:rsidR="00BD5580" w:rsidRPr="00BD5580">
        <w:rPr>
          <w:rFonts w:ascii="Times New Roman" w:hAnsi="Times New Roman" w:cs="Times New Roman"/>
          <w:bCs/>
          <w:sz w:val="28"/>
          <w:szCs w:val="28"/>
        </w:rPr>
        <w:t>профориентационной работ</w:t>
      </w:r>
      <w:r w:rsidR="00BD5580" w:rsidRPr="00BD5580">
        <w:rPr>
          <w:rFonts w:ascii="Times New Roman" w:hAnsi="Times New Roman" w:cs="Times New Roman"/>
          <w:bCs/>
          <w:sz w:val="28"/>
          <w:szCs w:val="28"/>
        </w:rPr>
        <w:t>ы</w:t>
      </w:r>
      <w:r w:rsidR="00BD5580" w:rsidRPr="00BD5580">
        <w:rPr>
          <w:rFonts w:ascii="Times New Roman" w:hAnsi="Times New Roman" w:cs="Times New Roman"/>
          <w:bCs/>
          <w:sz w:val="28"/>
          <w:szCs w:val="28"/>
        </w:rPr>
        <w:t xml:space="preserve"> и профильной подготовкой обучающихся в образовательной организации</w:t>
      </w:r>
      <w:r w:rsidRPr="00BD5580">
        <w:rPr>
          <w:rFonts w:ascii="Times New Roman" w:hAnsi="Times New Roman" w:cs="Times New Roman"/>
          <w:sz w:val="28"/>
          <w:szCs w:val="28"/>
        </w:rPr>
        <w:t>.</w:t>
      </w:r>
    </w:p>
    <w:p w:rsidR="00C53A52" w:rsidRPr="006A06C4" w:rsidRDefault="00DE6746" w:rsidP="002B78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2.1.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6C4">
        <w:rPr>
          <w:rFonts w:ascii="Times New Roman" w:hAnsi="Times New Roman" w:cs="Times New Roman"/>
          <w:b/>
          <w:sz w:val="28"/>
          <w:szCs w:val="28"/>
        </w:rPr>
        <w:t>Слушатель должен быть подготовлен к решению профессиональных задач:</w:t>
      </w: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580" w:rsidRPr="00083D66" w:rsidRDefault="00BD5580" w:rsidP="00BD55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3D66">
        <w:rPr>
          <w:rFonts w:ascii="Times New Roman" w:hAnsi="Times New Roman"/>
          <w:sz w:val="28"/>
          <w:szCs w:val="28"/>
        </w:rPr>
        <w:t xml:space="preserve">усвоить цели и задачи образовательной организации </w:t>
      </w:r>
      <w:r w:rsidRPr="00083D66">
        <w:rPr>
          <w:rFonts w:ascii="Times New Roman" w:hAnsi="Times New Roman"/>
          <w:bCs/>
          <w:sz w:val="28"/>
          <w:szCs w:val="28"/>
        </w:rPr>
        <w:t>как ресурса профориентационной работы и профильной подготовки;</w:t>
      </w:r>
    </w:p>
    <w:p w:rsidR="00D06902" w:rsidRDefault="00BD5580" w:rsidP="00BD55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83D66">
        <w:rPr>
          <w:rFonts w:ascii="Times New Roman" w:hAnsi="Times New Roman"/>
          <w:sz w:val="28"/>
          <w:szCs w:val="28"/>
        </w:rPr>
        <w:t xml:space="preserve">- ознакомиться с формами </w:t>
      </w:r>
      <w:r w:rsidRPr="00083D66">
        <w:rPr>
          <w:rFonts w:ascii="Times New Roman" w:hAnsi="Times New Roman"/>
          <w:bCs/>
          <w:sz w:val="28"/>
          <w:szCs w:val="28"/>
        </w:rPr>
        <w:t>профориентационной работы и профильной подготовки</w:t>
      </w:r>
      <w:r w:rsidR="00D06902">
        <w:rPr>
          <w:rFonts w:ascii="Times New Roman" w:hAnsi="Times New Roman" w:cs="Times New Roman"/>
          <w:sz w:val="28"/>
          <w:szCs w:val="28"/>
        </w:rPr>
        <w:t>.</w:t>
      </w:r>
    </w:p>
    <w:p w:rsidR="00D06902" w:rsidRPr="00D06902" w:rsidRDefault="00D06902" w:rsidP="00D069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5BC" w:rsidRPr="006A06C4" w:rsidRDefault="00DE6746" w:rsidP="002B78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 xml:space="preserve">2.2. Компетентностная модель 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>выпускника курсов:</w:t>
      </w:r>
    </w:p>
    <w:p w:rsidR="00D06902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Профессиональная компетенция</w:t>
      </w:r>
      <w:r w:rsidR="00D06902">
        <w:rPr>
          <w:rFonts w:ascii="Times New Roman" w:hAnsi="Times New Roman" w:cs="Times New Roman"/>
          <w:sz w:val="28"/>
          <w:szCs w:val="28"/>
        </w:rPr>
        <w:t>.</w:t>
      </w:r>
    </w:p>
    <w:p w:rsidR="00574917" w:rsidRPr="006A06C4" w:rsidRDefault="00D06902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580">
        <w:rPr>
          <w:rFonts w:ascii="Times New Roman" w:hAnsi="Times New Roman" w:cs="Times New Roman"/>
          <w:sz w:val="28"/>
          <w:szCs w:val="28"/>
        </w:rPr>
        <w:t>. Юридические компетенции.</w:t>
      </w:r>
    </w:p>
    <w:p w:rsidR="001615BC" w:rsidRPr="006A06C4" w:rsidRDefault="001615BC" w:rsidP="0057491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6C4">
        <w:rPr>
          <w:rFonts w:ascii="Times New Roman" w:hAnsi="Times New Roman" w:cs="Times New Roman"/>
          <w:b/>
          <w:bCs/>
          <w:sz w:val="28"/>
          <w:szCs w:val="28"/>
        </w:rPr>
        <w:t>2.3. Краткое содержание программы:</w:t>
      </w:r>
    </w:p>
    <w:p w:rsidR="002F2D21" w:rsidRPr="006A06C4" w:rsidRDefault="00420D9D" w:rsidP="002B7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lastRenderedPageBreak/>
        <w:t>Программа курсов повышения квалификации включает вопросы</w:t>
      </w:r>
      <w:r w:rsidR="002F2D21" w:rsidRPr="006A06C4">
        <w:rPr>
          <w:rFonts w:ascii="Times New Roman" w:hAnsi="Times New Roman" w:cs="Times New Roman"/>
          <w:sz w:val="28"/>
          <w:szCs w:val="28"/>
        </w:rPr>
        <w:t>:</w:t>
      </w:r>
    </w:p>
    <w:p w:rsidR="00BD5580" w:rsidRPr="00083D66" w:rsidRDefault="00BD5580" w:rsidP="00BD5580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3D66">
        <w:rPr>
          <w:rFonts w:ascii="Times New Roman" w:hAnsi="Times New Roman"/>
          <w:sz w:val="28"/>
          <w:szCs w:val="28"/>
        </w:rPr>
        <w:t>Модуль 1. Нормативно-правовая основа управления профориентационной работой и профильной подготовкой обучающихся в образовательной организации.</w:t>
      </w:r>
    </w:p>
    <w:p w:rsidR="00BD5580" w:rsidRPr="00083D66" w:rsidRDefault="00BD5580" w:rsidP="00BD5580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3D66">
        <w:rPr>
          <w:rFonts w:ascii="Times New Roman" w:hAnsi="Times New Roman"/>
          <w:sz w:val="28"/>
          <w:szCs w:val="28"/>
        </w:rPr>
        <w:t>Модуль 2.  Дополнительные общеразвивающие программы как средство формирования профессиональной ориентации обучающихся.</w:t>
      </w:r>
    </w:p>
    <w:p w:rsidR="00BD5580" w:rsidRPr="00083D66" w:rsidRDefault="00BD5580" w:rsidP="00BD5580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83D66">
        <w:rPr>
          <w:rFonts w:ascii="Times New Roman" w:hAnsi="Times New Roman"/>
          <w:sz w:val="28"/>
          <w:szCs w:val="28"/>
        </w:rPr>
        <w:t xml:space="preserve">Модуль 3.  Проектное управление как ресурс </w:t>
      </w:r>
      <w:r w:rsidRPr="00083D66">
        <w:rPr>
          <w:rFonts w:ascii="Times New Roman" w:hAnsi="Times New Roman"/>
          <w:bCs/>
          <w:sz w:val="28"/>
          <w:szCs w:val="28"/>
        </w:rPr>
        <w:t xml:space="preserve"> управления профориентационной работой и профильной подготовкой обучающихся в образовательной организации.</w:t>
      </w:r>
    </w:p>
    <w:p w:rsidR="00BD5580" w:rsidRPr="00083D66" w:rsidRDefault="00BD5580" w:rsidP="00BD5580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3D66">
        <w:rPr>
          <w:rFonts w:ascii="Times New Roman" w:hAnsi="Times New Roman"/>
          <w:sz w:val="28"/>
          <w:szCs w:val="28"/>
        </w:rPr>
        <w:t>Модуль 4.  Толерантность как ключевая компетенция  управления профориентационной работой и профильной подготовкой обучающихся в образовательной организации.</w:t>
      </w:r>
    </w:p>
    <w:p w:rsidR="00BD5580" w:rsidRPr="00083D66" w:rsidRDefault="00BD5580" w:rsidP="00BD5580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3D66">
        <w:rPr>
          <w:rFonts w:ascii="Times New Roman" w:hAnsi="Times New Roman"/>
          <w:sz w:val="28"/>
          <w:szCs w:val="28"/>
        </w:rPr>
        <w:t>Модуль 5.  Государственно-частное партнерство как эффективное средство использования дополнительных общеразвивающих программ  в целях профориентационной работы и профильной подготовки обучающихся.</w:t>
      </w:r>
    </w:p>
    <w:p w:rsidR="00BD5580" w:rsidRPr="00083D66" w:rsidRDefault="00BD5580" w:rsidP="00BD5580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3D66">
        <w:rPr>
          <w:rFonts w:ascii="Times New Roman" w:hAnsi="Times New Roman"/>
          <w:sz w:val="28"/>
          <w:szCs w:val="28"/>
        </w:rPr>
        <w:t xml:space="preserve">Модуль 6.  Сетевая инновационная кластерная педагогическая лаборатория как эффективное средство </w:t>
      </w:r>
      <w:r w:rsidRPr="00083D66">
        <w:rPr>
          <w:rFonts w:ascii="Times New Roman" w:hAnsi="Times New Roman"/>
          <w:bCs/>
          <w:sz w:val="28"/>
          <w:szCs w:val="28"/>
        </w:rPr>
        <w:t xml:space="preserve"> профориентационной работы и профильной подготовки обучающихся.</w:t>
      </w:r>
    </w:p>
    <w:p w:rsidR="001615BC" w:rsidRPr="006A06C4" w:rsidRDefault="001615BC" w:rsidP="00574917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2.4. Предлагаемые формы и методы работы слушателя:</w:t>
      </w:r>
      <w:r w:rsidRPr="006A06C4">
        <w:rPr>
          <w:rFonts w:ascii="Times New Roman" w:hAnsi="Times New Roman"/>
          <w:sz w:val="28"/>
          <w:szCs w:val="28"/>
        </w:rPr>
        <w:t xml:space="preserve"> лекции, практические занятия, дискуссии, тренинги, входно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выходно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промежуточн</w:t>
      </w:r>
      <w:r w:rsidR="002B78A5" w:rsidRPr="006A06C4">
        <w:rPr>
          <w:rFonts w:ascii="Times New Roman" w:hAnsi="Times New Roman"/>
          <w:sz w:val="28"/>
          <w:szCs w:val="28"/>
        </w:rPr>
        <w:t>ый</w:t>
      </w:r>
      <w:r w:rsidRPr="006A06C4">
        <w:rPr>
          <w:rFonts w:ascii="Times New Roman" w:hAnsi="Times New Roman"/>
          <w:sz w:val="28"/>
          <w:szCs w:val="28"/>
        </w:rPr>
        <w:t xml:space="preserve"> контрол</w:t>
      </w:r>
      <w:r w:rsidR="002B78A5" w:rsidRPr="006A06C4">
        <w:rPr>
          <w:rFonts w:ascii="Times New Roman" w:hAnsi="Times New Roman"/>
          <w:sz w:val="28"/>
          <w:szCs w:val="28"/>
        </w:rPr>
        <w:t>ь</w:t>
      </w:r>
      <w:r w:rsidRPr="006A06C4">
        <w:rPr>
          <w:rFonts w:ascii="Times New Roman" w:hAnsi="Times New Roman"/>
          <w:sz w:val="28"/>
          <w:szCs w:val="28"/>
        </w:rPr>
        <w:t xml:space="preserve"> и итогов</w:t>
      </w:r>
      <w:r w:rsidR="002B78A5" w:rsidRPr="006A06C4">
        <w:rPr>
          <w:rFonts w:ascii="Times New Roman" w:hAnsi="Times New Roman"/>
          <w:sz w:val="28"/>
          <w:szCs w:val="28"/>
        </w:rPr>
        <w:t>ая</w:t>
      </w:r>
      <w:r w:rsidRPr="006A06C4">
        <w:rPr>
          <w:rFonts w:ascii="Times New Roman" w:hAnsi="Times New Roman"/>
          <w:sz w:val="28"/>
          <w:szCs w:val="28"/>
        </w:rPr>
        <w:t xml:space="preserve"> аттестации; стажировка в образовательной организации.</w:t>
      </w:r>
    </w:p>
    <w:p w:rsidR="001615BC" w:rsidRPr="006A06C4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2.5. Количество лекций:</w:t>
      </w:r>
      <w:r w:rsidR="007C7723" w:rsidRPr="006A06C4">
        <w:rPr>
          <w:rFonts w:ascii="Times New Roman" w:hAnsi="Times New Roman"/>
          <w:sz w:val="28"/>
          <w:szCs w:val="28"/>
        </w:rPr>
        <w:t xml:space="preserve"> 2</w:t>
      </w:r>
      <w:r w:rsidR="00D06902">
        <w:rPr>
          <w:rFonts w:ascii="Times New Roman" w:hAnsi="Times New Roman"/>
          <w:sz w:val="28"/>
          <w:szCs w:val="28"/>
        </w:rPr>
        <w:t>0</w:t>
      </w:r>
      <w:r w:rsidR="00BC42AC" w:rsidRPr="006A06C4">
        <w:rPr>
          <w:rFonts w:ascii="Times New Roman" w:hAnsi="Times New Roman"/>
          <w:sz w:val="28"/>
          <w:szCs w:val="28"/>
        </w:rPr>
        <w:t xml:space="preserve"> </w:t>
      </w:r>
      <w:r w:rsidR="002B78A5" w:rsidRPr="006A06C4">
        <w:rPr>
          <w:rFonts w:ascii="Times New Roman" w:hAnsi="Times New Roman"/>
          <w:sz w:val="28"/>
          <w:szCs w:val="28"/>
        </w:rPr>
        <w:t>час</w:t>
      </w:r>
      <w:r w:rsidR="007C7723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p w:rsidR="001615BC" w:rsidRPr="002B78A5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2.6. Количество практических занятий</w:t>
      </w:r>
      <w:r w:rsidR="002D691C" w:rsidRPr="006A06C4">
        <w:rPr>
          <w:rFonts w:ascii="Times New Roman" w:hAnsi="Times New Roman"/>
          <w:b/>
          <w:sz w:val="28"/>
          <w:szCs w:val="28"/>
        </w:rPr>
        <w:t>:</w:t>
      </w:r>
      <w:r w:rsidR="002D691C" w:rsidRPr="006A06C4">
        <w:rPr>
          <w:rFonts w:ascii="Times New Roman" w:hAnsi="Times New Roman"/>
          <w:sz w:val="28"/>
          <w:szCs w:val="28"/>
        </w:rPr>
        <w:t xml:space="preserve"> </w:t>
      </w:r>
      <w:r w:rsidR="00BD5580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="002B78A5" w:rsidRPr="006A06C4">
        <w:rPr>
          <w:rFonts w:ascii="Times New Roman" w:hAnsi="Times New Roman"/>
          <w:sz w:val="28"/>
          <w:szCs w:val="28"/>
        </w:rPr>
        <w:t xml:space="preserve"> час</w:t>
      </w:r>
      <w:r w:rsidR="00D06902">
        <w:rPr>
          <w:rFonts w:ascii="Times New Roman" w:hAnsi="Times New Roman"/>
          <w:sz w:val="28"/>
          <w:szCs w:val="28"/>
        </w:rPr>
        <w:t>а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sectPr w:rsidR="001615BC" w:rsidRPr="002B78A5" w:rsidSect="002E5FF7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91" w:rsidRDefault="005D7791" w:rsidP="00725C18">
      <w:pPr>
        <w:spacing w:after="0" w:line="240" w:lineRule="auto"/>
      </w:pPr>
      <w:r>
        <w:separator/>
      </w:r>
    </w:p>
  </w:endnote>
  <w:endnote w:type="continuationSeparator" w:id="0">
    <w:p w:rsidR="005D7791" w:rsidRDefault="005D7791" w:rsidP="007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1327"/>
      <w:docPartObj>
        <w:docPartGallery w:val="Page Numbers (Bottom of Page)"/>
        <w:docPartUnique/>
      </w:docPartObj>
    </w:sdtPr>
    <w:sdtEndPr/>
    <w:sdtContent>
      <w:p w:rsidR="00725C18" w:rsidRDefault="004D7C06">
        <w:pPr>
          <w:pStyle w:val="ac"/>
          <w:jc w:val="center"/>
        </w:pPr>
        <w:r>
          <w:fldChar w:fldCharType="begin"/>
        </w:r>
        <w:r w:rsidR="00AC1AF3">
          <w:instrText xml:space="preserve"> PAGE   \* MERGEFORMAT </w:instrText>
        </w:r>
        <w:r>
          <w:fldChar w:fldCharType="separate"/>
        </w:r>
        <w:r w:rsidR="00BD55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5C18" w:rsidRDefault="00725C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91" w:rsidRDefault="005D7791" w:rsidP="00725C18">
      <w:pPr>
        <w:spacing w:after="0" w:line="240" w:lineRule="auto"/>
      </w:pPr>
      <w:r>
        <w:separator/>
      </w:r>
    </w:p>
  </w:footnote>
  <w:footnote w:type="continuationSeparator" w:id="0">
    <w:p w:rsidR="005D7791" w:rsidRDefault="005D7791" w:rsidP="007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6"/>
    <w:multiLevelType w:val="hybridMultilevel"/>
    <w:tmpl w:val="5C0CC5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368F"/>
    <w:multiLevelType w:val="multilevel"/>
    <w:tmpl w:val="9FD403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2B3175C"/>
    <w:multiLevelType w:val="hybridMultilevel"/>
    <w:tmpl w:val="9C7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71596"/>
    <w:multiLevelType w:val="hybridMultilevel"/>
    <w:tmpl w:val="C0B67F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390C4726"/>
    <w:multiLevelType w:val="multilevel"/>
    <w:tmpl w:val="1A0205B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b/>
      </w:rPr>
    </w:lvl>
  </w:abstractNum>
  <w:abstractNum w:abstractNumId="5" w15:restartNumberingAfterBreak="0">
    <w:nsid w:val="51AC7340"/>
    <w:multiLevelType w:val="hybridMultilevel"/>
    <w:tmpl w:val="9C3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645AB"/>
    <w:multiLevelType w:val="hybridMultilevel"/>
    <w:tmpl w:val="C3D2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302F6"/>
    <w:multiLevelType w:val="hybridMultilevel"/>
    <w:tmpl w:val="9F2CD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A4B49"/>
    <w:multiLevelType w:val="hybridMultilevel"/>
    <w:tmpl w:val="CA02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8B0"/>
    <w:rsid w:val="00023CD6"/>
    <w:rsid w:val="000F33C2"/>
    <w:rsid w:val="001170A4"/>
    <w:rsid w:val="00147D77"/>
    <w:rsid w:val="00150D96"/>
    <w:rsid w:val="001615BC"/>
    <w:rsid w:val="0018131B"/>
    <w:rsid w:val="001972CF"/>
    <w:rsid w:val="001C1355"/>
    <w:rsid w:val="0025030E"/>
    <w:rsid w:val="0026225E"/>
    <w:rsid w:val="00287D49"/>
    <w:rsid w:val="002B78A5"/>
    <w:rsid w:val="002C5262"/>
    <w:rsid w:val="002D08B0"/>
    <w:rsid w:val="002D691C"/>
    <w:rsid w:val="002E5FF7"/>
    <w:rsid w:val="002F2D21"/>
    <w:rsid w:val="00306977"/>
    <w:rsid w:val="0039316F"/>
    <w:rsid w:val="00395218"/>
    <w:rsid w:val="003A7F63"/>
    <w:rsid w:val="003B1A32"/>
    <w:rsid w:val="003C6300"/>
    <w:rsid w:val="0041697B"/>
    <w:rsid w:val="00420D9D"/>
    <w:rsid w:val="004255C9"/>
    <w:rsid w:val="00426D7D"/>
    <w:rsid w:val="004428EF"/>
    <w:rsid w:val="004D681C"/>
    <w:rsid w:val="004D7C06"/>
    <w:rsid w:val="00512861"/>
    <w:rsid w:val="005334B0"/>
    <w:rsid w:val="00541817"/>
    <w:rsid w:val="00545C3F"/>
    <w:rsid w:val="00563964"/>
    <w:rsid w:val="00574917"/>
    <w:rsid w:val="005D3792"/>
    <w:rsid w:val="005D7791"/>
    <w:rsid w:val="005E1478"/>
    <w:rsid w:val="005E3EBF"/>
    <w:rsid w:val="00605A7B"/>
    <w:rsid w:val="0062065E"/>
    <w:rsid w:val="006A06C4"/>
    <w:rsid w:val="006A43EC"/>
    <w:rsid w:val="006C600D"/>
    <w:rsid w:val="006D2011"/>
    <w:rsid w:val="00725C18"/>
    <w:rsid w:val="00734B59"/>
    <w:rsid w:val="0079580F"/>
    <w:rsid w:val="007B19B5"/>
    <w:rsid w:val="007B2941"/>
    <w:rsid w:val="007C7723"/>
    <w:rsid w:val="00813DE0"/>
    <w:rsid w:val="00831AB8"/>
    <w:rsid w:val="008F5E62"/>
    <w:rsid w:val="00916F44"/>
    <w:rsid w:val="00A10B1F"/>
    <w:rsid w:val="00A64869"/>
    <w:rsid w:val="00A906DE"/>
    <w:rsid w:val="00A9294F"/>
    <w:rsid w:val="00AC0332"/>
    <w:rsid w:val="00AC1AF3"/>
    <w:rsid w:val="00AD50E6"/>
    <w:rsid w:val="00AE0C77"/>
    <w:rsid w:val="00AF3E86"/>
    <w:rsid w:val="00B212FD"/>
    <w:rsid w:val="00B8271C"/>
    <w:rsid w:val="00B96B09"/>
    <w:rsid w:val="00BB1C2F"/>
    <w:rsid w:val="00BB547B"/>
    <w:rsid w:val="00BC42AC"/>
    <w:rsid w:val="00BD4BA6"/>
    <w:rsid w:val="00BD5580"/>
    <w:rsid w:val="00C53A52"/>
    <w:rsid w:val="00C74B11"/>
    <w:rsid w:val="00CE57F6"/>
    <w:rsid w:val="00D06902"/>
    <w:rsid w:val="00D26E8B"/>
    <w:rsid w:val="00D903F2"/>
    <w:rsid w:val="00DE6746"/>
    <w:rsid w:val="00E0390D"/>
    <w:rsid w:val="00E50923"/>
    <w:rsid w:val="00F36376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693E"/>
  <w15:docId w15:val="{876D6566-5508-421B-8FC9-3B88965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7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F6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CE57F6"/>
    <w:rPr>
      <w:rFonts w:cs="Times New Roman"/>
      <w:b/>
      <w:bCs/>
    </w:rPr>
  </w:style>
  <w:style w:type="character" w:styleId="a4">
    <w:name w:val="Emphasis"/>
    <w:basedOn w:val="a0"/>
    <w:qFormat/>
    <w:rsid w:val="00CE57F6"/>
    <w:rPr>
      <w:rFonts w:cs="Times New Roman"/>
      <w:i/>
      <w:iCs/>
    </w:rPr>
  </w:style>
  <w:style w:type="paragraph" w:styleId="a5">
    <w:name w:val="No Spacing"/>
    <w:uiPriority w:val="1"/>
    <w:qFormat/>
    <w:rsid w:val="005E1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DE67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tes">
    <w:name w:val="notes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semiHidden/>
    <w:unhideWhenUsed/>
    <w:rsid w:val="00A9294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99"/>
    <w:locked/>
    <w:rsid w:val="00A9294F"/>
    <w:rPr>
      <w:rFonts w:eastAsia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locked/>
    <w:rsid w:val="00A9294F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94F"/>
    <w:pPr>
      <w:widowControl w:val="0"/>
      <w:shd w:val="clear" w:color="auto" w:fill="FFFFFF"/>
      <w:spacing w:before="480" w:after="0" w:line="322" w:lineRule="exact"/>
      <w:ind w:firstLine="700"/>
      <w:jc w:val="both"/>
    </w:pPr>
    <w:rPr>
      <w:rFonts w:ascii="Calibri" w:eastAsia="Times New Roman" w:hAnsi="Calibri" w:cs="Times New Roman"/>
      <w:spacing w:val="4"/>
      <w:sz w:val="25"/>
      <w:szCs w:val="25"/>
      <w:lang w:eastAsia="ru-RU"/>
    </w:rPr>
  </w:style>
  <w:style w:type="character" w:customStyle="1" w:styleId="11">
    <w:name w:val="Основной текст1"/>
    <w:basedOn w:val="a9"/>
    <w:rsid w:val="00A9294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6F"/>
    <w:rPr>
      <w:rFonts w:ascii="Segoe UI" w:eastAsiaTheme="minorHAnsi" w:hAnsi="Segoe UI" w:cs="Segoe UI"/>
      <w:sz w:val="18"/>
      <w:szCs w:val="18"/>
      <w:lang w:eastAsia="en-US"/>
    </w:rPr>
  </w:style>
  <w:style w:type="paragraph" w:styleId="af0">
    <w:name w:val="Normal (Web)"/>
    <w:basedOn w:val="a"/>
    <w:uiPriority w:val="99"/>
    <w:rsid w:val="00BD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30-23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31-24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Фанис</cp:lastModifiedBy>
  <cp:revision>39</cp:revision>
  <cp:lastPrinted>2018-03-21T12:37:00Z</cp:lastPrinted>
  <dcterms:created xsi:type="dcterms:W3CDTF">2016-04-14T04:53:00Z</dcterms:created>
  <dcterms:modified xsi:type="dcterms:W3CDTF">2019-02-16T09:59:00Z</dcterms:modified>
</cp:coreProperties>
</file>